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A5709F" w:rsidRDefault="009A0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9050" distB="19050" distL="19050" distR="19050">
            <wp:extent cx="992431" cy="3896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431" cy="38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709F" w:rsidRDefault="009A0D6A">
      <w:pPr>
        <w:pBdr>
          <w:top w:val="nil"/>
          <w:left w:val="nil"/>
          <w:bottom w:val="nil"/>
          <w:right w:val="nil"/>
          <w:between w:val="nil"/>
        </w:pBdr>
        <w:ind w:right="-180"/>
        <w:jc w:val="center"/>
        <w:rPr>
          <w:rFonts w:ascii="Helvetica Neue" w:eastAsia="Helvetica Neue" w:hAnsi="Helvetica Neue" w:cs="Helvetica Neue"/>
          <w:sz w:val="26"/>
          <w:szCs w:val="26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40"/>
          <w:szCs w:val="40"/>
        </w:rPr>
        <w:t>Standard 7: SMART Goal Setting Form</w:t>
      </w:r>
    </w:p>
    <w:p w:rsidR="00A5709F" w:rsidRDefault="00A5709F">
      <w:pPr>
        <w:pBdr>
          <w:top w:val="nil"/>
          <w:left w:val="nil"/>
          <w:bottom w:val="nil"/>
          <w:right w:val="nil"/>
          <w:between w:val="nil"/>
        </w:pBdr>
      </w:pPr>
    </w:p>
    <w:p w:rsidR="00A5709F" w:rsidRDefault="009A0D6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  <w:r>
        <w:rPr>
          <w:rFonts w:ascii="Calibri" w:eastAsia="Calibri" w:hAnsi="Calibri" w:cs="Calibri"/>
        </w:rPr>
        <w:t xml:space="preserve">Teacher’s Name: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School: </w:t>
      </w:r>
    </w:p>
    <w:p w:rsidR="00A5709F" w:rsidRDefault="009A0D6A">
      <w:pPr>
        <w:pBdr>
          <w:top w:val="nil"/>
          <w:left w:val="nil"/>
          <w:bottom w:val="nil"/>
          <w:right w:val="nil"/>
          <w:between w:val="nil"/>
        </w:pBdr>
        <w:spacing w:after="120"/>
        <w:ind w:right="-180"/>
      </w:pPr>
      <w:r>
        <w:rPr>
          <w:rFonts w:ascii="Calibri" w:eastAsia="Calibri" w:hAnsi="Calibri" w:cs="Calibri"/>
        </w:rPr>
        <w:t xml:space="preserve">Subject/Grade or Position: </w:t>
      </w:r>
      <w:r>
        <w:rPr>
          <w:rFonts w:ascii="Calibri" w:eastAsia="Calibri" w:hAnsi="Calibri" w:cs="Calibri"/>
        </w:rPr>
        <w:tab/>
        <w:t>Art Teacher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School Year:  20</w:t>
      </w:r>
      <w:r>
        <w:rPr>
          <w:rFonts w:ascii="Calibri" w:eastAsia="Calibri" w:hAnsi="Calibri" w:cs="Calibri"/>
        </w:rPr>
        <w:t>19/20</w:t>
      </w:r>
    </w:p>
    <w:p w:rsidR="00A5709F" w:rsidRDefault="009A0D6A">
      <w:p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Directions: </w:t>
      </w:r>
      <w:r>
        <w:rPr>
          <w:rFonts w:ascii="Calibri" w:eastAsia="Calibri" w:hAnsi="Calibri" w:cs="Calibri"/>
          <w:sz w:val="22"/>
          <w:szCs w:val="22"/>
        </w:rPr>
        <w:t>This form is a tool to assist teachers in setting a SMART goal that results in measurable learner progress.   NOTE: When applicable, learner achievement/progress should be the focus of the goal. Enter information electronically into the cells (the boxes wi</w:t>
      </w:r>
      <w:r>
        <w:rPr>
          <w:rFonts w:ascii="Calibri" w:eastAsia="Calibri" w:hAnsi="Calibri" w:cs="Calibri"/>
          <w:sz w:val="22"/>
          <w:szCs w:val="22"/>
        </w:rPr>
        <w:t>ll expand to fit the text).</w:t>
      </w:r>
    </w:p>
    <w:p w:rsidR="00A5709F" w:rsidRDefault="009A0D6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pecific, 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easurable,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ppropriate,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ealistic but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igorous,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z w:val="22"/>
          <w:szCs w:val="22"/>
        </w:rPr>
        <w:t>ime Limited</w:t>
      </w:r>
    </w:p>
    <w:p w:rsidR="00A5709F" w:rsidRDefault="00A5709F">
      <w:pPr>
        <w:pBdr>
          <w:top w:val="nil"/>
          <w:left w:val="nil"/>
          <w:bottom w:val="nil"/>
          <w:right w:val="nil"/>
          <w:between w:val="nil"/>
        </w:pBdr>
      </w:pPr>
    </w:p>
    <w:p w:rsidR="00A5709F" w:rsidRDefault="009A0D6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Initial Goal Submission (due by _____________ to the evaluator)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3460"/>
        <w:gridCol w:w="2210"/>
      </w:tblGrid>
      <w:tr w:rsidR="00A5709F">
        <w:tc>
          <w:tcPr>
            <w:tcW w:w="3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I. Setting (Describe the population and special learning circumstances.)</w:t>
            </w:r>
          </w:p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4th Grade Distance Learning Class</w:t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A5709F">
        <w:tc>
          <w:tcPr>
            <w:tcW w:w="3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II. Content/Subject/Field Area (The area/topic addressed based on learner achievement, data analysis, or observational data.)</w:t>
            </w:r>
          </w:p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 xml:space="preserve">The content area is art, specifically focusing on the VA Visual Art SOL 4.18:  “The student will analyze works of art based on visual properties and contextual information.  </w:t>
            </w:r>
          </w:p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The Smart Goal relates to the National Core Standards of:</w:t>
            </w:r>
          </w:p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</w:rPr>
              <w:t>Presenting</w:t>
            </w:r>
            <w:r>
              <w:t xml:space="preserve">: </w:t>
            </w:r>
            <w:r>
              <w:rPr>
                <w:sz w:val="22"/>
                <w:szCs w:val="22"/>
              </w:rPr>
              <w:t>A.5 The s</w:t>
            </w:r>
            <w:r>
              <w:rPr>
                <w:sz w:val="22"/>
                <w:szCs w:val="22"/>
              </w:rPr>
              <w:t>tudent will develop and describe personal reasons for valuing works of art;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  <w:i/>
                <w:sz w:val="22"/>
                <w:szCs w:val="22"/>
              </w:rPr>
            </w:pPr>
          </w:p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rPr>
                <w:b/>
                <w:i/>
                <w:sz w:val="22"/>
                <w:szCs w:val="22"/>
              </w:rPr>
              <w:t>Responding</w:t>
            </w:r>
            <w:r>
              <w:rPr>
                <w:b/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A.7 The student recognizes the difference between personal opinion and informed judgment when reflecting on, discussing, and responding to visual imagery.</w:t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A5709F">
        <w:tc>
          <w:tcPr>
            <w:tcW w:w="3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III. Baseline Data (What is shown by the current data?)</w:t>
            </w:r>
          </w:p>
        </w:tc>
        <w:tc>
          <w:tcPr>
            <w:tcW w:w="346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t xml:space="preserve"> The pre-assessment asks students to independently look at a work of art and fill in a graphic organizer that has the sections:  “I See”, “I Think”, and “I </w:t>
            </w:r>
            <w:r>
              <w:lastRenderedPageBreak/>
              <w:t>Wonder.”</w:t>
            </w:r>
          </w:p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1" w:name="_5tczn29keie0" w:colFirst="0" w:colLast="0"/>
            <w:bookmarkEnd w:id="1"/>
          </w:p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2" w:name="_xioyv39etc6" w:colFirst="0" w:colLast="0"/>
            <w:bookmarkEnd w:id="2"/>
          </w:p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3" w:name="_30j0zll" w:colFirst="0" w:colLast="0"/>
            <w:bookmarkEnd w:id="3"/>
          </w:p>
        </w:tc>
        <w:tc>
          <w:tcPr>
            <w:tcW w:w="22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A5709F">
        <w:tc>
          <w:tcPr>
            <w:tcW w:w="3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IV. SMART Goal (Describe what you want learners/program to accomplish.)</w:t>
            </w:r>
          </w:p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100 percent of students will increase their ability to analyze a work of art as demonstrated by the number of responses in each category as well as the quality of responses.  Response</w:t>
            </w:r>
            <w:r>
              <w:t xml:space="preserve">s that employ the language used in the thinking strategy will be scored higher than those without the scaffolded language.  Everyone will improve their score by 20%.  </w:t>
            </w:r>
          </w:p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  <w:tc>
          <w:tcPr>
            <w:tcW w:w="22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A5709F">
        <w:tc>
          <w:tcPr>
            <w:tcW w:w="3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V. Means for Attaining Goal (Strategies used to accomplish the goal)</w:t>
            </w:r>
          </w:p>
        </w:tc>
        <w:tc>
          <w:tcPr>
            <w:tcW w:w="346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Pre-assessment</w:t>
            </w:r>
          </w:p>
          <w:p w:rsidR="00A5709F" w:rsidRDefault="009A0D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 Instruction of the Visual Thinking Strategy “See,Think,Wonder.”</w:t>
            </w:r>
          </w:p>
          <w:p w:rsidR="00A5709F" w:rsidRDefault="009A0D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Working in groups to analyze artwork.  </w:t>
            </w:r>
          </w:p>
          <w:p w:rsidR="00A5709F" w:rsidRDefault="009A0D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Formative Assessment of the group process. </w:t>
            </w:r>
          </w:p>
          <w:p w:rsidR="00A5709F" w:rsidRDefault="009A0D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Working individually to analyze art with a scaffolding chart.  </w:t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A5709F">
        <w:tc>
          <w:tcPr>
            <w:tcW w:w="3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Instructional Strategy</w:t>
            </w:r>
          </w:p>
        </w:tc>
        <w:tc>
          <w:tcPr>
            <w:tcW w:w="346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Evidence</w:t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Target Date</w:t>
            </w:r>
          </w:p>
        </w:tc>
      </w:tr>
      <w:tr w:rsidR="00A5709F">
        <w:trPr>
          <w:trHeight w:val="280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 xml:space="preserve">Implementation of SIOP protocol and designed lesson. 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Embedded in table below.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</w:tr>
      <w:tr w:rsidR="00A5709F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Lesson Preparation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5709F" w:rsidRDefault="009A0D6A">
            <w:pPr>
              <w:widowControl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works of art (Lesson Preparation)</w:t>
            </w:r>
          </w:p>
          <w:p w:rsidR="00A5709F" w:rsidRDefault="009A0D6A">
            <w:pPr>
              <w:widowControl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See Think Wonder</w:t>
            </w:r>
            <w:r>
              <w:rPr>
                <w:rFonts w:ascii="Calibri" w:eastAsia="Calibri" w:hAnsi="Calibri" w:cs="Calibri"/>
              </w:rPr>
              <w:t xml:space="preserve"> Instructional Materials (Lesson Prep &amp; Comprehensible Input)</w:t>
            </w:r>
          </w:p>
          <w:p w:rsidR="00A5709F" w:rsidRDefault="009A0D6A">
            <w:pPr>
              <w:widowControl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See, Think, Wonder differentiated </w:t>
            </w: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Graphic Organizers </w:t>
              </w:r>
            </w:hyperlink>
            <w:r>
              <w:rPr>
                <w:rFonts w:ascii="Calibri" w:eastAsia="Calibri" w:hAnsi="Calibri" w:cs="Calibri"/>
              </w:rPr>
              <w:t>(Comprehensible Input &amp; Strategies for higher order thinking)</w:t>
            </w:r>
          </w:p>
          <w:p w:rsidR="00A5709F" w:rsidRDefault="009A0D6A">
            <w:pPr>
              <w:widowControl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Role Cards</w:t>
            </w:r>
            <w:r>
              <w:rPr>
                <w:rFonts w:ascii="Calibri" w:eastAsia="Calibri" w:hAnsi="Calibri" w:cs="Calibri"/>
              </w:rPr>
              <w:t xml:space="preserve"> used for different types of language practice.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</w:tr>
      <w:tr w:rsidR="00A5709F"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5709F" w:rsidRDefault="009A0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Procedure/Motivation</w:t>
            </w:r>
          </w:p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5709F" w:rsidRDefault="009A0D6A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 the WGBH video ”Kid Curator” to students explicitly linking their past looking experiences in our classroom to today’s work.  Showing a student of the same age doing deep thinking and looking about art.</w:t>
            </w:r>
          </w:p>
          <w:p w:rsidR="00A5709F" w:rsidRDefault="009A0D6A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students what they not</w:t>
            </w:r>
            <w:r>
              <w:rPr>
                <w:rFonts w:ascii="Calibri" w:eastAsia="Calibri" w:hAnsi="Calibri" w:cs="Calibri"/>
              </w:rPr>
              <w:t xml:space="preserve">iced about the video.  How was the boy in the video looking at art?  What kinds of questions was he asking?  </w:t>
            </w:r>
          </w:p>
          <w:p w:rsidR="00A5709F" w:rsidRDefault="00A5709F">
            <w:pPr>
              <w:widowControl/>
              <w:rPr>
                <w:rFonts w:ascii="Calibri" w:eastAsia="Calibri" w:hAnsi="Calibri" w:cs="Calibri"/>
              </w:rPr>
            </w:pPr>
          </w:p>
          <w:p w:rsidR="00A5709F" w:rsidRDefault="009A0D6A">
            <w:pPr>
              <w:widowControl/>
            </w:pPr>
            <w:r>
              <w:rPr>
                <w:rFonts w:ascii="Calibri" w:eastAsia="Calibri" w:hAnsi="Calibri" w:cs="Calibri"/>
              </w:rPr>
              <w:t>Explain that we will all be art curators today, looking at art, thinking about what the art means and asking questions about art.  Show visuals f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i/>
              </w:rPr>
              <w:t>See, Think, Wonder</w:t>
            </w:r>
            <w:r>
              <w:rPr>
                <w:rFonts w:ascii="Calibri" w:eastAsia="Calibri" w:hAnsi="Calibri" w:cs="Calibri"/>
              </w:rPr>
              <w:t xml:space="preserve"> while discussing. 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</w:tr>
      <w:tr w:rsidR="00A5709F">
        <w:trPr>
          <w:trHeight w:val="280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5709F" w:rsidRDefault="009A0D6A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Presentation </w:t>
            </w:r>
          </w:p>
          <w:p w:rsidR="00A5709F" w:rsidRDefault="009A0D6A">
            <w:pPr>
              <w:widowControl/>
            </w:pPr>
            <w:r>
              <w:rPr>
                <w:rFonts w:ascii="Calibri" w:eastAsia="Calibri" w:hAnsi="Calibri" w:cs="Calibri"/>
                <w:b/>
              </w:rPr>
              <w:t xml:space="preserve"> Lesson Preparation, Interaction, Strategies, Lesson Delivery)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5709F" w:rsidRDefault="009A0D6A">
            <w:pPr>
              <w:widowControl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Content Objective/Language Objective Activity &amp; Grouping</w:t>
            </w:r>
          </w:p>
          <w:p w:rsidR="00A5709F" w:rsidRDefault="009A0D6A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will each be called on to read a part of our content and language objectives, following allong with a screencast.  </w:t>
            </w:r>
          </w:p>
          <w:p w:rsidR="00A5709F" w:rsidRDefault="00A5709F">
            <w:pPr>
              <w:widowControl/>
              <w:rPr>
                <w:rFonts w:ascii="Calibri" w:eastAsia="Calibri" w:hAnsi="Calibri" w:cs="Calibri"/>
              </w:rPr>
            </w:pPr>
          </w:p>
          <w:p w:rsidR="00A5709F" w:rsidRDefault="009A0D6A">
            <w:pPr>
              <w:widowControl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Power Point Presentation about See, Think, Wonder.  </w:t>
            </w:r>
          </w:p>
          <w:p w:rsidR="00A5709F" w:rsidRDefault="009A0D6A">
            <w:pPr>
              <w:widowControl/>
            </w:pPr>
            <w:r>
              <w:rPr>
                <w:rFonts w:ascii="Calibri" w:eastAsia="Calibri" w:hAnsi="Calibri" w:cs="Calibri"/>
              </w:rPr>
              <w:t xml:space="preserve">Students will be introduced to the thinking strategy, </w:t>
            </w:r>
            <w:r>
              <w:rPr>
                <w:rFonts w:ascii="Calibri" w:eastAsia="Calibri" w:hAnsi="Calibri" w:cs="Calibri"/>
                <w:b/>
                <w:i/>
              </w:rPr>
              <w:t>See, Think, Wonder,</w:t>
            </w:r>
            <w:r>
              <w:rPr>
                <w:rFonts w:ascii="Calibri" w:eastAsia="Calibri" w:hAnsi="Calibri" w:cs="Calibri"/>
              </w:rPr>
              <w:t xml:space="preserve"> wit</w:t>
            </w:r>
            <w:r>
              <w:rPr>
                <w:rFonts w:ascii="Calibri" w:eastAsia="Calibri" w:hAnsi="Calibri" w:cs="Calibri"/>
              </w:rPr>
              <w:t xml:space="preserve">h a Power Point activity and then looking at one painting together.  Using the I Do, We Do, You Do approach, the teacher will respond to one question on each slide modeling how to read and answer the questions.  Then students will work together as a whole </w:t>
            </w:r>
            <w:r>
              <w:rPr>
                <w:rFonts w:ascii="Calibri" w:eastAsia="Calibri" w:hAnsi="Calibri" w:cs="Calibri"/>
              </w:rPr>
              <w:t xml:space="preserve">group to read and orally answer some </w:t>
            </w:r>
            <w:r>
              <w:rPr>
                <w:rFonts w:ascii="Calibri" w:eastAsia="Calibri" w:hAnsi="Calibri" w:cs="Calibri"/>
              </w:rPr>
              <w:lastRenderedPageBreak/>
              <w:t xml:space="preserve">of the questions.  Students will then work in smaller groups via microsoft teams for further practice in small groups and individually. 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</w:tr>
      <w:tr w:rsidR="00A5709F">
        <w:tc>
          <w:tcPr>
            <w:tcW w:w="3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Practice</w:t>
            </w:r>
          </w:p>
          <w:p w:rsidR="00A5709F" w:rsidRDefault="009A0D6A">
            <w:pPr>
              <w:widowControl/>
            </w:pPr>
            <w:r>
              <w:rPr>
                <w:rFonts w:ascii="Calibri" w:eastAsia="Calibri" w:hAnsi="Calibri" w:cs="Calibri"/>
                <w:b/>
              </w:rPr>
              <w:t>( Practice &amp; Application, Interaction, Lesson Delivery, Review &amp; Assessment)</w:t>
            </w:r>
          </w:p>
        </w:tc>
        <w:tc>
          <w:tcPr>
            <w:tcW w:w="346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widowControl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Small Group Art Analysis: </w:t>
            </w:r>
            <w:r>
              <w:rPr>
                <w:rFonts w:ascii="Calibri" w:eastAsia="Calibri" w:hAnsi="Calibri" w:cs="Calibri"/>
              </w:rPr>
              <w:t>Via Microsoft teams,  use Role Cards for students to take on different types of language practice, Leader (Speaking), Reader (Reading/Speaking), Recorde</w:t>
            </w:r>
            <w:r>
              <w:rPr>
                <w:rFonts w:ascii="Calibri" w:eastAsia="Calibri" w:hAnsi="Calibri" w:cs="Calibri"/>
              </w:rPr>
              <w:t xml:space="preserve">r (Listening/Writing), Presenter (Reading/Speaking).  Students will use the provided graphic organizers at different levels of scaffolding to analyze their paintings.  While students are working as a group, the teacher will check for understanding and ask </w:t>
            </w:r>
            <w:r>
              <w:rPr>
                <w:rFonts w:ascii="Calibri" w:eastAsia="Calibri" w:hAnsi="Calibri" w:cs="Calibri"/>
              </w:rPr>
              <w:t>questions providing further feedback and supporting comprehension as needed.</w:t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5709F">
        <w:tc>
          <w:tcPr>
            <w:tcW w:w="3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Application</w:t>
            </w:r>
          </w:p>
          <w:p w:rsidR="00A5709F" w:rsidRDefault="009A0D6A">
            <w:pPr>
              <w:widowControl/>
            </w:pPr>
            <w:r>
              <w:rPr>
                <w:rFonts w:ascii="Calibri" w:eastAsia="Calibri" w:hAnsi="Calibri" w:cs="Calibri"/>
                <w:b/>
              </w:rPr>
              <w:t>(SIOP Practice &amp; Application, Interaction, Lesson Delivery)</w:t>
            </w:r>
          </w:p>
        </w:tc>
        <w:tc>
          <w:tcPr>
            <w:tcW w:w="346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widowControl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</w:rPr>
              <w:t>Individual Art Analysis:</w:t>
            </w:r>
            <w:r>
              <w:rPr>
                <w:rFonts w:ascii="Calibri" w:eastAsia="Calibri" w:hAnsi="Calibri" w:cs="Calibri"/>
              </w:rPr>
              <w:t xml:space="preserve">  Students will choose one work of art to analyze on their own.  They can choose </w:t>
            </w:r>
            <w:r>
              <w:rPr>
                <w:rFonts w:ascii="Calibri" w:eastAsia="Calibri" w:hAnsi="Calibri" w:cs="Calibri"/>
              </w:rPr>
              <w:t xml:space="preserve">the graphic organizer of their choice to scaffold their language practice.  They will then share their findings with the teacher via NearPod and with the group via MS Teams.   </w:t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5709F">
        <w:tc>
          <w:tcPr>
            <w:tcW w:w="3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Plan for Differentiation/ Accommodation / Adaptation </w:t>
            </w:r>
          </w:p>
          <w:p w:rsidR="00A5709F" w:rsidRDefault="00A5709F">
            <w:pPr>
              <w:widowControl/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widowControl/>
            </w:pPr>
            <w:r>
              <w:rPr>
                <w:rFonts w:ascii="Calibri" w:eastAsia="Calibri" w:hAnsi="Calibri" w:cs="Calibri"/>
                <w:b/>
                <w:i/>
              </w:rPr>
              <w:t>Scaffolded graphic organizers</w:t>
            </w:r>
            <w:r>
              <w:rPr>
                <w:rFonts w:ascii="Calibri" w:eastAsia="Calibri" w:hAnsi="Calibri" w:cs="Calibri"/>
              </w:rPr>
              <w:t xml:space="preserve"> with various levels of language challenge/difficulty.  Instructional materials are leveled to support the thinking strategy and language learning.  </w:t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5709F">
        <w:tc>
          <w:tcPr>
            <w:tcW w:w="3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Formative or Summative Assessment </w:t>
            </w:r>
          </w:p>
          <w:p w:rsidR="00A5709F" w:rsidRDefault="009A0D6A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(SIOP Review &amp; Assessment, Lesson Delive</w:t>
            </w:r>
            <w:r>
              <w:rPr>
                <w:rFonts w:ascii="Calibri" w:eastAsia="Calibri" w:hAnsi="Calibri" w:cs="Calibri"/>
                <w:b/>
              </w:rPr>
              <w:t>ry)</w:t>
            </w:r>
          </w:p>
        </w:tc>
        <w:tc>
          <w:tcPr>
            <w:tcW w:w="346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9A0D6A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Using NearPod to check for understanding as formative assessment. </w:t>
            </w:r>
          </w:p>
          <w:p w:rsidR="00A5709F" w:rsidRDefault="009A0D6A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Summative assessment with students’ written work.</w:t>
            </w:r>
          </w:p>
          <w:p w:rsidR="00A5709F" w:rsidRDefault="009A0D6A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Wrap up conversation at the end of class to review objectives and check for understanding. </w:t>
            </w:r>
          </w:p>
          <w:p w:rsidR="00A5709F" w:rsidRDefault="00A5709F">
            <w:pPr>
              <w:widowControl/>
              <w:rPr>
                <w:rFonts w:ascii="Calibri" w:eastAsia="Calibri" w:hAnsi="Calibri" w:cs="Calibri"/>
              </w:rPr>
            </w:pPr>
          </w:p>
          <w:p w:rsidR="00A5709F" w:rsidRDefault="009A0D6A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 the end of the lesson, review content a</w:t>
            </w:r>
            <w:r>
              <w:rPr>
                <w:rFonts w:ascii="Calibri" w:eastAsia="Calibri" w:hAnsi="Calibri" w:cs="Calibri"/>
              </w:rPr>
              <w:t xml:space="preserve">nd language objectives.  Students will also be presented with a category of question and will have to identify it as either a see question, think question, or wonder question.  </w:t>
            </w:r>
          </w:p>
          <w:p w:rsidR="00A5709F" w:rsidRDefault="00A5709F">
            <w:pPr>
              <w:widowControl/>
              <w:rPr>
                <w:rFonts w:ascii="Calibri" w:eastAsia="Calibri" w:hAnsi="Calibri" w:cs="Calibri"/>
              </w:rPr>
            </w:pPr>
          </w:p>
          <w:p w:rsidR="00A5709F" w:rsidRDefault="009A0D6A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Repeat of pre-assessment test with new works of art to see improvement in ability to analyze works of art. </w:t>
            </w:r>
          </w:p>
          <w:p w:rsidR="00A5709F" w:rsidRDefault="00A5709F">
            <w:pPr>
              <w:widowControl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2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5709F">
        <w:tc>
          <w:tcPr>
            <w:tcW w:w="3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A5709F">
            <w:pPr>
              <w:widowControl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A5709F">
            <w:pPr>
              <w:widowControl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21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09F" w:rsidRDefault="00A5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A5709F" w:rsidRDefault="00A5709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A5709F" w:rsidRDefault="009A0D6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Teacher’s -Signature: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Date: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A5709F" w:rsidRDefault="00A5709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5709F" w:rsidRDefault="009A0D6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4" w:name="_1fob9te" w:colFirst="0" w:colLast="0"/>
      <w:bookmarkEnd w:id="4"/>
      <w:r>
        <w:rPr>
          <w:rFonts w:ascii="Calibri" w:eastAsia="Calibri" w:hAnsi="Calibri" w:cs="Calibri"/>
          <w:sz w:val="20"/>
          <w:szCs w:val="20"/>
        </w:rPr>
        <w:t>Evaluator’s Signature: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Date: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A5709F" w:rsidRDefault="009A0D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bookmarkStart w:id="5" w:name="_l5sy8fayl2ei" w:colFirst="0" w:colLast="0"/>
      <w:bookmarkEnd w:id="5"/>
      <w:r>
        <w:rPr>
          <w:rFonts w:ascii="Calibri" w:eastAsia="Calibri" w:hAnsi="Calibri" w:cs="Calibri"/>
          <w:sz w:val="20"/>
          <w:szCs w:val="20"/>
        </w:rPr>
        <w:t>Print or Type Evaluator’s Name:    </w:t>
      </w:r>
    </w:p>
    <w:p w:rsidR="00A5709F" w:rsidRDefault="009A0D6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6" w:name="_3znysh7" w:colFirst="0" w:colLast="0"/>
      <w:bookmarkEnd w:id="6"/>
      <w:r>
        <w:rPr>
          <w:rFonts w:ascii="Calibri" w:eastAsia="Calibri" w:hAnsi="Calibri" w:cs="Calibri"/>
          <w:sz w:val="20"/>
          <w:szCs w:val="20"/>
        </w:rPr>
        <w:t>  </w:t>
      </w:r>
    </w:p>
    <w:p w:rsidR="00A5709F" w:rsidRDefault="009A0D6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▢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Principal forwards one copy to the Professional Development Office</w:t>
      </w:r>
    </w:p>
    <w:p w:rsidR="00A5709F" w:rsidRDefault="00A5709F">
      <w:pPr>
        <w:pBdr>
          <w:top w:val="nil"/>
          <w:left w:val="nil"/>
          <w:bottom w:val="nil"/>
          <w:right w:val="nil"/>
          <w:between w:val="nil"/>
        </w:pBdr>
      </w:pPr>
      <w:bookmarkStart w:id="7" w:name="_2et92p0" w:colFirst="0" w:colLast="0"/>
      <w:bookmarkEnd w:id="7"/>
    </w:p>
    <w:sectPr w:rsidR="00A57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0D6A" w:rsidRDefault="009A0D6A">
      <w:r>
        <w:separator/>
      </w:r>
    </w:p>
  </w:endnote>
  <w:endnote w:type="continuationSeparator" w:id="0">
    <w:p w:rsidR="009A0D6A" w:rsidRDefault="009A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209" w:rsidRDefault="00054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209" w:rsidRDefault="00054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209" w:rsidRDefault="00054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0D6A" w:rsidRDefault="009A0D6A">
      <w:r>
        <w:separator/>
      </w:r>
    </w:p>
  </w:footnote>
  <w:footnote w:type="continuationSeparator" w:id="0">
    <w:p w:rsidR="009A0D6A" w:rsidRDefault="009A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209" w:rsidRDefault="00054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709F" w:rsidRDefault="00A570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209" w:rsidRDefault="00054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F7038"/>
    <w:multiLevelType w:val="multilevel"/>
    <w:tmpl w:val="C6C2B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2370FD"/>
    <w:multiLevelType w:val="multilevel"/>
    <w:tmpl w:val="D29C5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9F"/>
    <w:rsid w:val="00054209"/>
    <w:rsid w:val="009A0D6A"/>
    <w:rsid w:val="00A5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323B05-55D2-8744-B6D4-FE09E350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4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209"/>
  </w:style>
  <w:style w:type="paragraph" w:styleId="Footer">
    <w:name w:val="footer"/>
    <w:basedOn w:val="Normal"/>
    <w:link w:val="FooterChar"/>
    <w:uiPriority w:val="99"/>
    <w:unhideWhenUsed/>
    <w:rsid w:val="00054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QGiKWx7_YkqvVtyVkLp2-YDtfpNdg6p/view?usp=sha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Routson, Nancy</cp:lastModifiedBy>
  <cp:revision>2</cp:revision>
  <dcterms:created xsi:type="dcterms:W3CDTF">2020-07-28T22:35:00Z</dcterms:created>
  <dcterms:modified xsi:type="dcterms:W3CDTF">2020-07-28T22:35:00Z</dcterms:modified>
</cp:coreProperties>
</file>